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45D8C" w14:textId="77777777" w:rsidR="006B2407" w:rsidRPr="006B2407" w:rsidRDefault="006B2407" w:rsidP="006B2407">
      <w:pPr>
        <w:spacing w:after="8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B2407">
        <w:rPr>
          <w:rFonts w:ascii="Calibri" w:eastAsia="Times New Roman" w:hAnsi="Calibri" w:cs="Calibri"/>
          <w:color w:val="000000"/>
          <w:kern w:val="0"/>
          <w:sz w:val="56"/>
          <w:szCs w:val="56"/>
          <w:lang w:eastAsia="fr-FR"/>
          <w14:ligatures w14:val="none"/>
        </w:rPr>
        <w:t>COMPTE RENDU DE LA RÉUNION</w:t>
      </w:r>
    </w:p>
    <w:p w14:paraId="6CA5C69B" w14:textId="1E9ABA0C" w:rsidR="006B2407" w:rsidRPr="006B2407" w:rsidRDefault="006B2407" w:rsidP="006B240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B2407">
        <w:rPr>
          <w:rFonts w:ascii="Calibri" w:eastAsia="Times New Roman" w:hAnsi="Calibri" w:cs="Calibri"/>
          <w:b/>
          <w:bCs/>
          <w:color w:val="000000"/>
          <w:kern w:val="0"/>
          <w:sz w:val="30"/>
          <w:szCs w:val="30"/>
          <w:u w:val="single"/>
          <w:lang w:eastAsia="fr-FR"/>
          <w14:ligatures w14:val="none"/>
        </w:rPr>
        <w:t xml:space="preserve">DU : </w:t>
      </w:r>
      <w:r w:rsidR="00DD3E81">
        <w:rPr>
          <w:rFonts w:ascii="Calibri" w:eastAsia="Times New Roman" w:hAnsi="Calibri" w:cs="Calibri"/>
          <w:b/>
          <w:bCs/>
          <w:color w:val="000000"/>
          <w:kern w:val="0"/>
          <w:sz w:val="30"/>
          <w:szCs w:val="30"/>
          <w:u w:val="single"/>
          <w:lang w:eastAsia="fr-FR"/>
          <w14:ligatures w14:val="none"/>
        </w:rPr>
        <w:t>9 juillet</w:t>
      </w:r>
      <w:r w:rsidR="0018377B">
        <w:rPr>
          <w:rFonts w:ascii="Calibri" w:eastAsia="Times New Roman" w:hAnsi="Calibri" w:cs="Calibri"/>
          <w:b/>
          <w:bCs/>
          <w:color w:val="000000"/>
          <w:kern w:val="0"/>
          <w:sz w:val="30"/>
          <w:szCs w:val="30"/>
          <w:u w:val="single"/>
          <w:lang w:eastAsia="fr-FR"/>
          <w14:ligatures w14:val="none"/>
        </w:rPr>
        <w:t xml:space="preserve"> 2025</w:t>
      </w:r>
    </w:p>
    <w:p w14:paraId="2EC1272A" w14:textId="77777777" w:rsidR="006B2407" w:rsidRPr="006B2407" w:rsidRDefault="006B2407" w:rsidP="006B24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43083DAA" w14:textId="7602E513" w:rsidR="006B2407" w:rsidRPr="006B2407" w:rsidRDefault="006B2407" w:rsidP="006B240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B2407">
        <w:rPr>
          <w:rFonts w:ascii="Calibri" w:eastAsia="Times New Roman" w:hAnsi="Calibri" w:cs="Calibri"/>
          <w:color w:val="000000"/>
          <w:kern w:val="0"/>
          <w:sz w:val="26"/>
          <w:szCs w:val="26"/>
          <w:u w:val="single"/>
          <w:lang w:eastAsia="fr-FR"/>
          <w14:ligatures w14:val="none"/>
        </w:rPr>
        <w:t xml:space="preserve">Convocation du : </w:t>
      </w:r>
      <w:r w:rsidR="00DD3E81">
        <w:rPr>
          <w:rFonts w:ascii="Calibri" w:eastAsia="Times New Roman" w:hAnsi="Calibri" w:cs="Calibri"/>
          <w:color w:val="000000"/>
          <w:kern w:val="0"/>
          <w:sz w:val="26"/>
          <w:szCs w:val="26"/>
          <w:u w:val="single"/>
          <w:lang w:eastAsia="fr-FR"/>
          <w14:ligatures w14:val="none"/>
        </w:rPr>
        <w:t>30/06</w:t>
      </w:r>
      <w:r w:rsidR="0018377B">
        <w:rPr>
          <w:rFonts w:ascii="Calibri" w:eastAsia="Times New Roman" w:hAnsi="Calibri" w:cs="Calibri"/>
          <w:color w:val="000000"/>
          <w:kern w:val="0"/>
          <w:sz w:val="26"/>
          <w:szCs w:val="26"/>
          <w:u w:val="single"/>
          <w:lang w:eastAsia="fr-FR"/>
          <w14:ligatures w14:val="none"/>
        </w:rPr>
        <w:t>/2025</w:t>
      </w:r>
    </w:p>
    <w:p w14:paraId="2E328092" w14:textId="77777777" w:rsidR="006B2407" w:rsidRPr="006B2407" w:rsidRDefault="006B2407" w:rsidP="006B2407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627B2466" w14:textId="4D303ED0" w:rsidR="006B2407" w:rsidRPr="006B2407" w:rsidRDefault="006B2407" w:rsidP="006B240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B2407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Le </w:t>
      </w:r>
      <w:r w:rsidR="00DD3E81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neuf juillet</w:t>
      </w:r>
      <w:r w:rsidRPr="006B2407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 deux mille vingt-cinq à </w:t>
      </w:r>
      <w:r w:rsidR="008B2F3A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dix</w:t>
      </w:r>
      <w:r w:rsidR="00AE6436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 heures</w:t>
      </w:r>
      <w:r w:rsidRPr="006B2407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, </w:t>
      </w:r>
    </w:p>
    <w:p w14:paraId="29304236" w14:textId="785F1F93" w:rsidR="006B2407" w:rsidRPr="006B2407" w:rsidRDefault="006B2407" w:rsidP="006B240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B2407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Le Conseil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Syndical</w:t>
      </w:r>
      <w:r w:rsidRPr="006B2407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du Syndicat des Eaux de </w:t>
      </w:r>
      <w:r w:rsidRPr="006B240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fr-FR"/>
          <w14:ligatures w14:val="none"/>
        </w:rPr>
        <w:t xml:space="preserve">BUDOS, </w:t>
      </w:r>
      <w:r w:rsidRPr="006B2407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s’est réuni, en session ordinaire, à la Mairie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 de Budos</w:t>
      </w:r>
      <w:r w:rsidRPr="006B2407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, sous la présidence de 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fr-FR"/>
          <w14:ligatures w14:val="none"/>
        </w:rPr>
        <w:t>Jean-Marc PELLETANT</w:t>
      </w:r>
      <w:r w:rsidRPr="006B240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fr-FR"/>
          <w14:ligatures w14:val="none"/>
        </w:rPr>
        <w:t xml:space="preserve">,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Président</w:t>
      </w:r>
      <w:r w:rsidRPr="006B2407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.</w:t>
      </w:r>
    </w:p>
    <w:p w14:paraId="3B68CD56" w14:textId="77777777" w:rsidR="006B2407" w:rsidRPr="006B2407" w:rsidRDefault="006B2407" w:rsidP="006B2407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B240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</w:p>
    <w:p w14:paraId="3E9A2D2A" w14:textId="162F85AE" w:rsidR="006B2407" w:rsidRPr="006B2407" w:rsidRDefault="006B2407" w:rsidP="006B24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B2407"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fr-FR"/>
          <w14:ligatures w14:val="none"/>
        </w:rPr>
        <w:t>PRÉSENTS :</w:t>
      </w:r>
      <w:r w:rsidRPr="006B2407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 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JM PELLETANT, C ZAUSA, C LAGARDERE, JM JOVER</w:t>
      </w:r>
      <w:r w:rsidR="004248E6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,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 </w:t>
      </w:r>
      <w:r w:rsidR="00DD3E81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S VALLOIR</w:t>
      </w:r>
      <w:r w:rsidR="00EC4F69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 </w:t>
      </w:r>
      <w:r w:rsidR="008B2F3A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et P CLAVERIE</w:t>
      </w:r>
    </w:p>
    <w:p w14:paraId="3BC384B1" w14:textId="77777777" w:rsidR="006B2407" w:rsidRDefault="006B2407" w:rsidP="006B24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2973B914" w14:textId="03DFD99F" w:rsidR="00DD3E81" w:rsidRPr="00DD3E81" w:rsidRDefault="00DD3E81" w:rsidP="006B2407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DD3E81"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fr-FR"/>
          <w14:ligatures w14:val="none"/>
        </w:rPr>
        <w:t xml:space="preserve">Excusés : </w:t>
      </w:r>
      <w:r w:rsidRPr="00DD3E81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Didier MOTHES et Martine CONSTANS</w:t>
      </w:r>
    </w:p>
    <w:p w14:paraId="4AB987A8" w14:textId="77777777" w:rsidR="00DD3E81" w:rsidRDefault="00DD3E81" w:rsidP="006B24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56C64B5F" w14:textId="40BB2664" w:rsidR="006B2407" w:rsidRDefault="006B2407" w:rsidP="006B2407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6B2407"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fr-FR"/>
          <w14:ligatures w14:val="none"/>
        </w:rPr>
        <w:t>Absent</w:t>
      </w:r>
      <w:r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fr-FR"/>
          <w14:ligatures w14:val="none"/>
        </w:rPr>
        <w:t>s</w:t>
      </w:r>
      <w:r w:rsidRPr="006B2407">
        <w:rPr>
          <w:rFonts w:ascii="Calibri" w:eastAsia="Times New Roman" w:hAnsi="Calibri" w:cs="Calibri"/>
          <w:b/>
          <w:bCs/>
          <w:color w:val="000000"/>
          <w:kern w:val="0"/>
          <w:lang w:eastAsia="fr-FR"/>
          <w14:ligatures w14:val="none"/>
        </w:rPr>
        <w:t> :</w:t>
      </w:r>
      <w:r w:rsidRPr="006B2407"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fr-FR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L RICHEZ</w:t>
      </w:r>
    </w:p>
    <w:p w14:paraId="7A2FE359" w14:textId="77777777" w:rsidR="006B2407" w:rsidRDefault="006B2407" w:rsidP="006B2407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</w:p>
    <w:p w14:paraId="73D41B9C" w14:textId="43516E51" w:rsidR="00EC4F69" w:rsidRPr="00EC4F69" w:rsidRDefault="00EC4F69" w:rsidP="006B2407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</w:pPr>
      <w:r w:rsidRPr="00EC4F69"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fr-FR"/>
          <w14:ligatures w14:val="none"/>
        </w:rPr>
        <w:t xml:space="preserve">Invités : </w:t>
      </w:r>
      <w:r w:rsidRPr="00EC4F69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 xml:space="preserve">Dominique CLAVIER, Jean-François STARCK (SOCAMA), </w:t>
      </w:r>
      <w:proofErr w:type="spellStart"/>
      <w:r w:rsidRPr="00EC4F69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>Eric</w:t>
      </w:r>
      <w:proofErr w:type="spellEnd"/>
      <w:r w:rsidRPr="00EC4F69">
        <w:rPr>
          <w:rFonts w:ascii="Calibri" w:eastAsia="Times New Roman" w:hAnsi="Calibri" w:cs="Calibri"/>
          <w:color w:val="000000"/>
          <w:kern w:val="0"/>
          <w:lang w:eastAsia="fr-FR"/>
          <w14:ligatures w14:val="none"/>
        </w:rPr>
        <w:t xml:space="preserve"> MOUCHET et Morgane VERGES (SUEZ)</w:t>
      </w:r>
    </w:p>
    <w:p w14:paraId="71A074FB" w14:textId="77777777" w:rsidR="008B2F3A" w:rsidRPr="006B2407" w:rsidRDefault="008B2F3A" w:rsidP="006B24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16809627" w14:textId="248F9FE7" w:rsidR="006B2407" w:rsidRPr="006B2407" w:rsidRDefault="006B2407" w:rsidP="006B24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B240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u w:val="single"/>
          <w:lang w:eastAsia="fr-FR"/>
          <w14:ligatures w14:val="none"/>
        </w:rPr>
        <w:t>SECRETAIRE</w:t>
      </w:r>
      <w:r w:rsidRPr="006B240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fr-FR"/>
          <w14:ligatures w14:val="none"/>
        </w:rPr>
        <w:t xml:space="preserve"> : </w:t>
      </w:r>
      <w:r w:rsidR="00DD3E81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Catherine ZAUSA</w:t>
      </w:r>
    </w:p>
    <w:p w14:paraId="5E0D2315" w14:textId="77777777" w:rsidR="006B2407" w:rsidRPr="006B2407" w:rsidRDefault="006B2407" w:rsidP="006B2407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3907B4B5" w14:textId="77777777" w:rsidR="006B2407" w:rsidRPr="006B2407" w:rsidRDefault="006B2407" w:rsidP="006B24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B240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u w:val="single"/>
          <w:lang w:eastAsia="fr-FR"/>
          <w14:ligatures w14:val="none"/>
        </w:rPr>
        <w:t>ORDRE DU JOUR :</w:t>
      </w:r>
    </w:p>
    <w:p w14:paraId="77AC5E44" w14:textId="77777777" w:rsidR="006B2407" w:rsidRPr="006B2407" w:rsidRDefault="006B2407" w:rsidP="006B24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B240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</w:p>
    <w:p w14:paraId="2AA940BA" w14:textId="0F803D87" w:rsidR="006B2407" w:rsidRPr="006B2407" w:rsidRDefault="00DD3E81" w:rsidP="006B2407">
      <w:pPr>
        <w:numPr>
          <w:ilvl w:val="0"/>
          <w:numId w:val="1"/>
        </w:numPr>
        <w:spacing w:after="0" w:line="240" w:lineRule="auto"/>
        <w:ind w:left="1770"/>
        <w:jc w:val="both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Sécurisation de la qualité de l’eau distribuée pendant la mise en chômage de l’usine de Budos</w:t>
      </w:r>
    </w:p>
    <w:p w14:paraId="5E43FA89" w14:textId="3B302DB5" w:rsidR="0018377B" w:rsidRDefault="00DD3E81" w:rsidP="006B2407">
      <w:pPr>
        <w:numPr>
          <w:ilvl w:val="0"/>
          <w:numId w:val="1"/>
        </w:numPr>
        <w:spacing w:after="0" w:line="240" w:lineRule="auto"/>
        <w:ind w:left="1770"/>
        <w:jc w:val="both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Remplacement des boîtiers de télégestion pour les assainissements</w:t>
      </w:r>
    </w:p>
    <w:p w14:paraId="00DEE517" w14:textId="1DB25A6E" w:rsidR="006B2407" w:rsidRPr="0018377B" w:rsidRDefault="006B2407" w:rsidP="006B2407">
      <w:pPr>
        <w:numPr>
          <w:ilvl w:val="0"/>
          <w:numId w:val="1"/>
        </w:numPr>
        <w:spacing w:after="0" w:line="240" w:lineRule="auto"/>
        <w:ind w:left="1770"/>
        <w:jc w:val="both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</w:pPr>
      <w:r w:rsidRPr="0018377B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Questions diverses</w:t>
      </w:r>
    </w:p>
    <w:p w14:paraId="020744DA" w14:textId="77777777" w:rsidR="006B2407" w:rsidRDefault="006B2407" w:rsidP="006B24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0EC75A4A" w14:textId="4095E6AB" w:rsidR="006B2407" w:rsidRPr="006B2407" w:rsidRDefault="006B2407" w:rsidP="006B24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B2407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ab/>
      </w:r>
      <w:r w:rsidRPr="006B2407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ab/>
      </w:r>
      <w:r w:rsidRPr="006B2407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ab/>
      </w:r>
      <w:r w:rsidRPr="006B2407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ab/>
      </w:r>
      <w:r w:rsidRPr="006B2407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ab/>
      </w:r>
      <w:r w:rsidRPr="006B2407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ab/>
      </w:r>
      <w:r w:rsidRPr="006B2407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ab/>
      </w:r>
      <w:r w:rsidRPr="006B2407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ab/>
      </w:r>
    </w:p>
    <w:p w14:paraId="29AD4787" w14:textId="320EFBD5" w:rsidR="006B2407" w:rsidRDefault="00DD3E81" w:rsidP="006B240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u w:val="single"/>
          <w:lang w:eastAsia="fr-FR"/>
          <w14:ligatures w14:val="none"/>
        </w:rPr>
      </w:pPr>
      <w:bookmarkStart w:id="0" w:name="_Hlk212465592"/>
      <w:r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u w:val="single"/>
          <w:lang w:eastAsia="fr-FR"/>
          <w14:ligatures w14:val="none"/>
        </w:rPr>
        <w:t>Sécurisation de la qualité de l’eau distribuée pendant la mise en chômage de l’usine de BUDOS</w:t>
      </w:r>
    </w:p>
    <w:p w14:paraId="3D4675CF" w14:textId="77777777" w:rsidR="005C716B" w:rsidRPr="006B2407" w:rsidRDefault="005C716B" w:rsidP="006B24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3190EA39" w14:textId="77777777" w:rsidR="00EC4F69" w:rsidRPr="00EC4F69" w:rsidRDefault="00EC4F69" w:rsidP="00EC4F69">
      <w:pPr>
        <w:pStyle w:val="Textedesdlibrations"/>
        <w:ind w:left="0"/>
        <w:rPr>
          <w:rFonts w:ascii="Calibri" w:hAnsi="Calibri" w:cs="Calibri"/>
          <w:b w:val="0"/>
          <w:i w:val="0"/>
          <w:iCs w:val="0"/>
          <w:color w:val="000000"/>
          <w:sz w:val="24"/>
          <w:szCs w:val="24"/>
        </w:rPr>
      </w:pPr>
      <w:r w:rsidRPr="00EC4F69">
        <w:rPr>
          <w:rFonts w:ascii="Calibri" w:hAnsi="Calibri" w:cs="Calibri"/>
          <w:b w:val="0"/>
          <w:i w:val="0"/>
          <w:iCs w:val="0"/>
          <w:color w:val="000000"/>
          <w:sz w:val="24"/>
          <w:szCs w:val="24"/>
        </w:rPr>
        <w:t>Le Président, lors de cette séance, reçoit Régie Bordeaux Métropole et notre exploitant SUEZ pour faire le point suite à la mise en chômage de l’usine de BUDOS à compter de mi-septembre et cela pour plusieurs semaines et les conséquences sur la qualité de l’eau de BUDOS.</w:t>
      </w:r>
    </w:p>
    <w:p w14:paraId="1F7662BA" w14:textId="77777777" w:rsidR="00EC4F69" w:rsidRPr="00EC4F69" w:rsidRDefault="00EC4F69" w:rsidP="00EC4F69">
      <w:pPr>
        <w:pStyle w:val="Textedesdlibrations"/>
        <w:rPr>
          <w:rFonts w:ascii="Calibri" w:hAnsi="Calibri" w:cs="Calibri"/>
          <w:b w:val="0"/>
          <w:i w:val="0"/>
          <w:iCs w:val="0"/>
          <w:color w:val="000000"/>
          <w:sz w:val="24"/>
          <w:szCs w:val="24"/>
        </w:rPr>
      </w:pPr>
    </w:p>
    <w:p w14:paraId="1BB64121" w14:textId="77777777" w:rsidR="00EC4F69" w:rsidRPr="00EC4F69" w:rsidRDefault="00EC4F69" w:rsidP="00EC4F69">
      <w:pPr>
        <w:pStyle w:val="Textedesdlibrations"/>
        <w:ind w:left="0"/>
        <w:rPr>
          <w:rFonts w:ascii="Calibri" w:hAnsi="Calibri" w:cs="Calibri"/>
          <w:b w:val="0"/>
          <w:i w:val="0"/>
          <w:iCs w:val="0"/>
          <w:color w:val="000000"/>
          <w:sz w:val="24"/>
          <w:szCs w:val="24"/>
        </w:rPr>
      </w:pPr>
      <w:r w:rsidRPr="00EC4F69">
        <w:rPr>
          <w:rFonts w:ascii="Calibri" w:hAnsi="Calibri" w:cs="Calibri"/>
          <w:b w:val="0"/>
          <w:i w:val="0"/>
          <w:iCs w:val="0"/>
          <w:color w:val="000000"/>
          <w:sz w:val="24"/>
          <w:szCs w:val="24"/>
        </w:rPr>
        <w:t xml:space="preserve">En raison de la forte productivité des sources de </w:t>
      </w:r>
      <w:proofErr w:type="spellStart"/>
      <w:r w:rsidRPr="00EC4F69">
        <w:rPr>
          <w:rFonts w:ascii="Calibri" w:hAnsi="Calibri" w:cs="Calibri"/>
          <w:b w:val="0"/>
          <w:i w:val="0"/>
          <w:iCs w:val="0"/>
          <w:color w:val="000000"/>
          <w:sz w:val="24"/>
          <w:szCs w:val="24"/>
        </w:rPr>
        <w:t>Fonbanne</w:t>
      </w:r>
      <w:proofErr w:type="spellEnd"/>
      <w:r w:rsidRPr="00EC4F69">
        <w:rPr>
          <w:rFonts w:ascii="Calibri" w:hAnsi="Calibri" w:cs="Calibri"/>
          <w:b w:val="0"/>
          <w:i w:val="0"/>
          <w:iCs w:val="0"/>
          <w:color w:val="000000"/>
          <w:sz w:val="24"/>
          <w:szCs w:val="24"/>
        </w:rPr>
        <w:t xml:space="preserve"> sur le site de Budos, des turbidités hautes sont rencontrées depuis 2023 sur l’eau brute et aussi suite à la mise en chômage à venir de l’étape de décantation.</w:t>
      </w:r>
    </w:p>
    <w:p w14:paraId="39ED545F" w14:textId="77777777" w:rsidR="00EC4F69" w:rsidRPr="00EC4F69" w:rsidRDefault="00EC4F69" w:rsidP="00EC4F69">
      <w:pPr>
        <w:pStyle w:val="Textedesdlibrations"/>
        <w:ind w:left="0"/>
        <w:rPr>
          <w:rFonts w:ascii="Calibri" w:hAnsi="Calibri" w:cs="Calibri"/>
          <w:b w:val="0"/>
          <w:i w:val="0"/>
          <w:iCs w:val="0"/>
          <w:color w:val="000000"/>
          <w:sz w:val="24"/>
          <w:szCs w:val="24"/>
        </w:rPr>
      </w:pPr>
      <w:r w:rsidRPr="00EC4F69">
        <w:rPr>
          <w:rFonts w:ascii="Calibri" w:hAnsi="Calibri" w:cs="Calibri"/>
          <w:b w:val="0"/>
          <w:i w:val="0"/>
          <w:iCs w:val="0"/>
          <w:color w:val="000000"/>
          <w:sz w:val="24"/>
          <w:szCs w:val="24"/>
        </w:rPr>
        <w:t>Un besoin de sécurisation de la production du côté du Syndicat des Eaux de Budos est le sujet du jour.</w:t>
      </w:r>
    </w:p>
    <w:p w14:paraId="60CAA1FE" w14:textId="77777777" w:rsidR="00EC4F69" w:rsidRPr="00EC4F69" w:rsidRDefault="00EC4F69" w:rsidP="00EC4F69">
      <w:pPr>
        <w:pStyle w:val="Textedesdlibrations"/>
        <w:rPr>
          <w:rFonts w:ascii="Calibri" w:hAnsi="Calibri" w:cs="Calibri"/>
          <w:b w:val="0"/>
          <w:i w:val="0"/>
          <w:iCs w:val="0"/>
          <w:color w:val="000000"/>
          <w:sz w:val="24"/>
          <w:szCs w:val="24"/>
        </w:rPr>
      </w:pPr>
    </w:p>
    <w:p w14:paraId="58B5732D" w14:textId="77777777" w:rsidR="00EC4F69" w:rsidRPr="00EC4F69" w:rsidRDefault="00EC4F69" w:rsidP="00EC4F69">
      <w:pPr>
        <w:pStyle w:val="Textedesdlibrations"/>
        <w:ind w:left="0"/>
        <w:rPr>
          <w:rFonts w:ascii="Calibri" w:hAnsi="Calibri" w:cs="Calibri"/>
          <w:b w:val="0"/>
          <w:i w:val="0"/>
          <w:iCs w:val="0"/>
          <w:color w:val="000000"/>
          <w:sz w:val="24"/>
          <w:szCs w:val="24"/>
        </w:rPr>
      </w:pPr>
      <w:r w:rsidRPr="00EC4F69">
        <w:rPr>
          <w:rFonts w:ascii="Calibri" w:hAnsi="Calibri" w:cs="Calibri"/>
          <w:b w:val="0"/>
          <w:i w:val="0"/>
          <w:iCs w:val="0"/>
          <w:color w:val="000000"/>
          <w:sz w:val="24"/>
          <w:szCs w:val="24"/>
        </w:rPr>
        <w:t>La Régie Bordeaux Métropole rappelle que dans la convention de vente en gros (article 3) qui nous lie, à savoir sur la livraison d’une qualité d’eau brute, celle-ci est non clarifiée lors de la mise en chômage de la filière de décantation.</w:t>
      </w:r>
    </w:p>
    <w:p w14:paraId="44106063" w14:textId="77777777" w:rsidR="00EC4F69" w:rsidRPr="00EC4F69" w:rsidRDefault="00EC4F69" w:rsidP="00EC4F69">
      <w:pPr>
        <w:pStyle w:val="Textedesdlibrations"/>
        <w:rPr>
          <w:rFonts w:ascii="Calibri" w:hAnsi="Calibri" w:cs="Calibri"/>
          <w:b w:val="0"/>
          <w:i w:val="0"/>
          <w:iCs w:val="0"/>
          <w:color w:val="000000"/>
          <w:sz w:val="24"/>
          <w:szCs w:val="24"/>
        </w:rPr>
      </w:pPr>
    </w:p>
    <w:p w14:paraId="434E840A" w14:textId="77777777" w:rsidR="00EC4F69" w:rsidRPr="00EC4F69" w:rsidRDefault="00EC4F69" w:rsidP="00EC4F69">
      <w:pPr>
        <w:pStyle w:val="Textedesdlibrations"/>
        <w:ind w:left="0"/>
        <w:rPr>
          <w:rFonts w:ascii="Calibri" w:hAnsi="Calibri" w:cs="Calibri"/>
          <w:b w:val="0"/>
          <w:i w:val="0"/>
          <w:iCs w:val="0"/>
          <w:color w:val="000000"/>
          <w:sz w:val="24"/>
          <w:szCs w:val="24"/>
        </w:rPr>
      </w:pPr>
      <w:r w:rsidRPr="00EC4F69">
        <w:rPr>
          <w:rFonts w:ascii="Calibri" w:hAnsi="Calibri" w:cs="Calibri"/>
          <w:b w:val="0"/>
          <w:i w:val="0"/>
          <w:iCs w:val="0"/>
          <w:color w:val="000000"/>
          <w:sz w:val="24"/>
          <w:szCs w:val="24"/>
        </w:rPr>
        <w:t>Une solution technique doit donc être mise en œuvre pour assurer une qualité d’eau distribuée conforme à la réglementation.</w:t>
      </w:r>
    </w:p>
    <w:p w14:paraId="362C57D0" w14:textId="77777777" w:rsidR="00EC4F69" w:rsidRPr="00EC4F69" w:rsidRDefault="00EC4F69" w:rsidP="00EC4F69">
      <w:pPr>
        <w:pStyle w:val="Textedesdlibrations"/>
        <w:rPr>
          <w:rFonts w:ascii="Calibri" w:hAnsi="Calibri" w:cs="Calibri"/>
          <w:b w:val="0"/>
          <w:i w:val="0"/>
          <w:iCs w:val="0"/>
          <w:color w:val="000000"/>
          <w:sz w:val="24"/>
          <w:szCs w:val="24"/>
        </w:rPr>
      </w:pPr>
    </w:p>
    <w:p w14:paraId="5E319AC8" w14:textId="77777777" w:rsidR="00EC4F69" w:rsidRPr="00EC4F69" w:rsidRDefault="00EC4F69" w:rsidP="00EC4F69">
      <w:pPr>
        <w:pStyle w:val="Textedesdlibrations"/>
        <w:ind w:left="0"/>
        <w:rPr>
          <w:rFonts w:ascii="Calibri" w:hAnsi="Calibri" w:cs="Calibri"/>
          <w:b w:val="0"/>
          <w:i w:val="0"/>
          <w:iCs w:val="0"/>
          <w:color w:val="000000"/>
          <w:sz w:val="24"/>
          <w:szCs w:val="24"/>
        </w:rPr>
      </w:pPr>
      <w:r w:rsidRPr="00EC4F69">
        <w:rPr>
          <w:rFonts w:ascii="Calibri" w:hAnsi="Calibri" w:cs="Calibri"/>
          <w:b w:val="0"/>
          <w:i w:val="0"/>
          <w:iCs w:val="0"/>
          <w:color w:val="000000"/>
          <w:sz w:val="24"/>
          <w:szCs w:val="24"/>
        </w:rPr>
        <w:t xml:space="preserve">SUEZ ne voit qu’une solution de traitement par unité mobile, en location ou à l’achat pour traiter la problématique sur le long terme. </w:t>
      </w:r>
    </w:p>
    <w:p w14:paraId="300BCACA" w14:textId="77777777" w:rsidR="00EC4F69" w:rsidRPr="00EC4F69" w:rsidRDefault="00EC4F69" w:rsidP="00EC4F69">
      <w:pPr>
        <w:pStyle w:val="Textedesdlibrations"/>
        <w:rPr>
          <w:rFonts w:ascii="Calibri" w:hAnsi="Calibri" w:cs="Calibri"/>
          <w:b w:val="0"/>
          <w:i w:val="0"/>
          <w:iCs w:val="0"/>
          <w:color w:val="000000"/>
          <w:sz w:val="24"/>
          <w:szCs w:val="24"/>
        </w:rPr>
      </w:pPr>
    </w:p>
    <w:p w14:paraId="4F6F82F2" w14:textId="77777777" w:rsidR="00EC4F69" w:rsidRPr="00EC4F69" w:rsidRDefault="00EC4F69" w:rsidP="00EC4F69">
      <w:pPr>
        <w:pStyle w:val="Textedesdlibrations"/>
        <w:ind w:left="0"/>
        <w:rPr>
          <w:rFonts w:ascii="Calibri" w:hAnsi="Calibri" w:cs="Calibri"/>
          <w:b w:val="0"/>
          <w:i w:val="0"/>
          <w:iCs w:val="0"/>
          <w:color w:val="000000"/>
          <w:sz w:val="24"/>
          <w:szCs w:val="24"/>
        </w:rPr>
      </w:pPr>
      <w:r w:rsidRPr="00EC4F69">
        <w:rPr>
          <w:rFonts w:ascii="Calibri" w:hAnsi="Calibri" w:cs="Calibri"/>
          <w:b w:val="0"/>
          <w:i w:val="0"/>
          <w:iCs w:val="0"/>
          <w:color w:val="000000"/>
          <w:sz w:val="24"/>
          <w:szCs w:val="24"/>
        </w:rPr>
        <w:t>L’étude d’une solution technique de location d’unité mobile de traitement se chiffre à 210 k€.</w:t>
      </w:r>
    </w:p>
    <w:p w14:paraId="03FF5669" w14:textId="77777777" w:rsidR="00EC4F69" w:rsidRPr="00EC4F69" w:rsidRDefault="00EC4F69" w:rsidP="00EC4F69">
      <w:pPr>
        <w:pStyle w:val="Textedesdlibrations"/>
        <w:ind w:left="0"/>
        <w:rPr>
          <w:rFonts w:ascii="Calibri" w:hAnsi="Calibri" w:cs="Calibri"/>
          <w:b w:val="0"/>
          <w:i w:val="0"/>
          <w:iCs w:val="0"/>
          <w:color w:val="000000"/>
          <w:sz w:val="24"/>
          <w:szCs w:val="24"/>
        </w:rPr>
      </w:pPr>
      <w:r w:rsidRPr="00EC4F69">
        <w:rPr>
          <w:rFonts w:ascii="Calibri" w:hAnsi="Calibri" w:cs="Calibri"/>
          <w:b w:val="0"/>
          <w:i w:val="0"/>
          <w:iCs w:val="0"/>
          <w:color w:val="000000"/>
          <w:sz w:val="24"/>
          <w:szCs w:val="24"/>
        </w:rPr>
        <w:t>Rappel sur l’urgence à se positionner en termes de commandes et de financement pour réserver les unités mobiles.</w:t>
      </w:r>
    </w:p>
    <w:p w14:paraId="75A29B1C" w14:textId="77777777" w:rsidR="00EC4F69" w:rsidRPr="00EC4F69" w:rsidRDefault="00EC4F69" w:rsidP="00EC4F69">
      <w:pPr>
        <w:pStyle w:val="Textedesdlibrations"/>
        <w:rPr>
          <w:rFonts w:ascii="Calibri" w:hAnsi="Calibri" w:cs="Calibri"/>
          <w:b w:val="0"/>
          <w:i w:val="0"/>
          <w:iCs w:val="0"/>
          <w:color w:val="000000"/>
          <w:sz w:val="24"/>
          <w:szCs w:val="24"/>
        </w:rPr>
      </w:pPr>
    </w:p>
    <w:bookmarkEnd w:id="0"/>
    <w:p w14:paraId="6E4BBC08" w14:textId="4E6713F3" w:rsidR="00EC4F69" w:rsidRPr="00E63B33" w:rsidRDefault="00EC4F69" w:rsidP="00EC4F69">
      <w:pPr>
        <w:pStyle w:val="Textedesdlibrations"/>
        <w:ind w:left="0"/>
        <w:rPr>
          <w:sz w:val="24"/>
          <w:szCs w:val="24"/>
        </w:rPr>
      </w:pPr>
      <w:r w:rsidRPr="00E63B33">
        <w:rPr>
          <w:sz w:val="24"/>
          <w:szCs w:val="24"/>
        </w:rPr>
        <w:t>LE COMITE SYNDICAL,</w:t>
      </w:r>
    </w:p>
    <w:p w14:paraId="4EBE2CFF" w14:textId="77777777" w:rsidR="00EC4F69" w:rsidRDefault="00EC4F69" w:rsidP="00EC4F69">
      <w:pPr>
        <w:pStyle w:val="Textedesdlibrations"/>
        <w:ind w:left="0"/>
        <w:rPr>
          <w:b w:val="0"/>
          <w:i w:val="0"/>
          <w:sz w:val="24"/>
          <w:szCs w:val="24"/>
        </w:rPr>
      </w:pPr>
      <w:proofErr w:type="gramStart"/>
      <w:r w:rsidRPr="001055FE">
        <w:rPr>
          <w:b w:val="0"/>
          <w:i w:val="0"/>
          <w:sz w:val="24"/>
          <w:szCs w:val="24"/>
        </w:rPr>
        <w:t>après</w:t>
      </w:r>
      <w:proofErr w:type="gramEnd"/>
      <w:r w:rsidRPr="001055FE">
        <w:rPr>
          <w:b w:val="0"/>
          <w:i w:val="0"/>
          <w:sz w:val="24"/>
          <w:szCs w:val="24"/>
        </w:rPr>
        <w:t xml:space="preserve"> en avoir délibéré</w:t>
      </w:r>
      <w:r>
        <w:rPr>
          <w:b w:val="0"/>
          <w:i w:val="0"/>
          <w:sz w:val="24"/>
          <w:szCs w:val="24"/>
        </w:rPr>
        <w:t>, l’unanimité des membres présents,</w:t>
      </w:r>
    </w:p>
    <w:p w14:paraId="70D1001C" w14:textId="77777777" w:rsidR="00EC4F69" w:rsidRDefault="00EC4F69" w:rsidP="00EC4F69">
      <w:pPr>
        <w:pStyle w:val="Textedesdlibrations"/>
        <w:ind w:left="992" w:firstLine="709"/>
        <w:rPr>
          <w:b w:val="0"/>
          <w:i w:val="0"/>
          <w:sz w:val="24"/>
          <w:szCs w:val="24"/>
        </w:rPr>
      </w:pPr>
    </w:p>
    <w:p w14:paraId="1CFE2B55" w14:textId="77777777" w:rsidR="00EC4F69" w:rsidRDefault="00EC4F69" w:rsidP="00EC4F69">
      <w:pPr>
        <w:pStyle w:val="Textedesdlibrations"/>
        <w:ind w:left="0"/>
        <w:rPr>
          <w:b w:val="0"/>
          <w:i w:val="0"/>
          <w:sz w:val="24"/>
          <w:szCs w:val="24"/>
        </w:rPr>
      </w:pPr>
      <w:r w:rsidRPr="001055FE">
        <w:rPr>
          <w:bCs/>
          <w:i w:val="0"/>
          <w:sz w:val="24"/>
          <w:szCs w:val="24"/>
        </w:rPr>
        <w:t>DECIDE </w:t>
      </w:r>
      <w:r w:rsidRPr="001055FE">
        <w:rPr>
          <w:b w:val="0"/>
          <w:i w:val="0"/>
          <w:sz w:val="24"/>
          <w:szCs w:val="24"/>
        </w:rPr>
        <w:t>:</w:t>
      </w:r>
    </w:p>
    <w:p w14:paraId="5DD12AC7" w14:textId="77777777" w:rsidR="00EC4F69" w:rsidRPr="001055FE" w:rsidRDefault="00EC4F69" w:rsidP="00EC4F69">
      <w:pPr>
        <w:pStyle w:val="Textedesdlibrations"/>
        <w:rPr>
          <w:b w:val="0"/>
          <w:i w:val="0"/>
          <w:sz w:val="24"/>
          <w:szCs w:val="24"/>
        </w:rPr>
      </w:pPr>
    </w:p>
    <w:p w14:paraId="3C62F866" w14:textId="46129367" w:rsidR="00EC4F69" w:rsidRPr="009443D4" w:rsidRDefault="00EC4F69" w:rsidP="00EC4F69">
      <w:pPr>
        <w:pStyle w:val="Textedesdlibrations"/>
        <w:numPr>
          <w:ilvl w:val="0"/>
          <w:numId w:val="16"/>
        </w:numPr>
        <w:rPr>
          <w:b w:val="0"/>
          <w:i w:val="0"/>
          <w:sz w:val="24"/>
          <w:szCs w:val="24"/>
        </w:rPr>
      </w:pPr>
      <w:r w:rsidRPr="009443D4">
        <w:rPr>
          <w:b w:val="0"/>
          <w:i w:val="0"/>
          <w:sz w:val="24"/>
          <w:szCs w:val="24"/>
        </w:rPr>
        <w:t>De participer à hauteur d’un quart/trois quarts plafonnée à 50 000 euros sur le budget 2026</w:t>
      </w:r>
    </w:p>
    <w:p w14:paraId="3BE02E4E" w14:textId="52B21315" w:rsidR="00EC4F69" w:rsidRPr="009443D4" w:rsidRDefault="00EC4F69" w:rsidP="00EC4F69">
      <w:pPr>
        <w:pStyle w:val="Textedesdlibrations"/>
        <w:numPr>
          <w:ilvl w:val="0"/>
          <w:numId w:val="16"/>
        </w:numPr>
        <w:rPr>
          <w:b w:val="0"/>
          <w:i w:val="0"/>
          <w:sz w:val="24"/>
          <w:szCs w:val="24"/>
        </w:rPr>
      </w:pPr>
      <w:r w:rsidRPr="009443D4">
        <w:rPr>
          <w:b w:val="0"/>
          <w:i w:val="0"/>
          <w:sz w:val="24"/>
          <w:szCs w:val="24"/>
        </w:rPr>
        <w:t>De demander la renégociation de la convention notamment sur la livraison de l’eau lourde</w:t>
      </w:r>
    </w:p>
    <w:p w14:paraId="225D4A98" w14:textId="461E5333" w:rsidR="00EC4F69" w:rsidRPr="009443D4" w:rsidRDefault="00EC4F69" w:rsidP="00EC4F69">
      <w:pPr>
        <w:pStyle w:val="Textedesdlibrations"/>
        <w:numPr>
          <w:ilvl w:val="0"/>
          <w:numId w:val="16"/>
        </w:numPr>
        <w:rPr>
          <w:b w:val="0"/>
          <w:i w:val="0"/>
          <w:sz w:val="24"/>
          <w:szCs w:val="24"/>
        </w:rPr>
      </w:pPr>
      <w:r w:rsidRPr="009443D4">
        <w:rPr>
          <w:b w:val="0"/>
          <w:i w:val="0"/>
          <w:sz w:val="24"/>
          <w:szCs w:val="24"/>
        </w:rPr>
        <w:t>D’autoriser M. le Président à signer tous les documents nécessaires</w:t>
      </w:r>
    </w:p>
    <w:p w14:paraId="0D0A4FA3" w14:textId="77777777" w:rsidR="004248E6" w:rsidRDefault="004248E6" w:rsidP="006B240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</w:pPr>
    </w:p>
    <w:p w14:paraId="6C01FAB6" w14:textId="0A196E1B" w:rsidR="004248E6" w:rsidRDefault="004248E6" w:rsidP="004248E6">
      <w:pPr>
        <w:spacing w:after="0" w:line="240" w:lineRule="auto"/>
        <w:jc w:val="both"/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</w:pPr>
      <w:r w:rsidRPr="006B2407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ab/>
      </w:r>
      <w:r w:rsidR="003931A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ab/>
      </w:r>
      <w:r w:rsidR="003931A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ab/>
      </w:r>
      <w:r w:rsidR="003931A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ab/>
      </w:r>
      <w:r w:rsidR="003931A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ab/>
      </w:r>
      <w:r w:rsidR="003931A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ab/>
      </w:r>
      <w:r w:rsidR="00B24FC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ab/>
      </w:r>
      <w:r w:rsidR="00B24FC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ab/>
      </w:r>
      <w:r w:rsidR="00B24FC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ab/>
      </w:r>
      <w:r w:rsidR="00B24FC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ab/>
      </w:r>
      <w:r w:rsidR="00B24FC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ab/>
      </w:r>
      <w:r w:rsidR="00B24FC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ab/>
      </w:r>
      <w:r w:rsidR="00B24FC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ab/>
      </w:r>
      <w:r w:rsidR="00B24FC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ab/>
      </w:r>
      <w:r w:rsidR="00B24FC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ab/>
      </w:r>
      <w:r w:rsidR="00B24FC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ab/>
      </w:r>
      <w:r w:rsidR="00B24FC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ab/>
      </w:r>
      <w:r w:rsidR="00B24FC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ab/>
      </w:r>
      <w:r w:rsidR="00B24FC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ab/>
      </w:r>
      <w:r w:rsidR="009443D4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ab/>
      </w:r>
      <w:r w:rsidR="009443D4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ab/>
      </w:r>
      <w:r w:rsidR="009443D4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ab/>
        <w:t>6</w:t>
      </w:r>
      <w:r w:rsidRPr="004E7602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 xml:space="preserve"> POUR</w:t>
      </w:r>
    </w:p>
    <w:p w14:paraId="4F4E6A08" w14:textId="77777777" w:rsidR="00B24FC9" w:rsidRDefault="00B24FC9" w:rsidP="004248E6">
      <w:pPr>
        <w:spacing w:after="0" w:line="240" w:lineRule="auto"/>
        <w:jc w:val="both"/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</w:pPr>
    </w:p>
    <w:p w14:paraId="3D6404BD" w14:textId="645F0E2B" w:rsidR="00B24FC9" w:rsidRDefault="009443D4" w:rsidP="00B24FC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u w:val="single"/>
          <w:lang w:eastAsia="fr-F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u w:val="single"/>
          <w:lang w:eastAsia="fr-FR"/>
          <w14:ligatures w14:val="none"/>
        </w:rPr>
        <w:t>Remplacement des boîtiers de télégestion pour les assainissements</w:t>
      </w:r>
    </w:p>
    <w:p w14:paraId="01B2E483" w14:textId="77777777" w:rsidR="009443D4" w:rsidRDefault="009443D4" w:rsidP="009443D4">
      <w:pPr>
        <w:pStyle w:val="Textedesdlibrations"/>
        <w:ind w:left="0"/>
        <w:rPr>
          <w:b w:val="0"/>
          <w:i w:val="0"/>
          <w:sz w:val="24"/>
          <w:szCs w:val="24"/>
        </w:rPr>
      </w:pPr>
    </w:p>
    <w:p w14:paraId="66BA529C" w14:textId="38647A41" w:rsidR="009443D4" w:rsidRDefault="009443D4" w:rsidP="009443D4">
      <w:pPr>
        <w:pStyle w:val="Textedesdlibrations"/>
        <w:ind w:left="0"/>
        <w:rPr>
          <w:b w:val="0"/>
          <w:i w:val="0"/>
          <w:sz w:val="24"/>
          <w:szCs w:val="24"/>
        </w:rPr>
      </w:pPr>
      <w:r w:rsidRPr="00B8653A">
        <w:rPr>
          <w:b w:val="0"/>
          <w:i w:val="0"/>
          <w:sz w:val="24"/>
          <w:szCs w:val="24"/>
        </w:rPr>
        <w:t>Les opérateurs de télécommunications Orange et Bouygues ont annoncé l’arrêt des services de transport de données basés sur les</w:t>
      </w:r>
      <w:r>
        <w:rPr>
          <w:b w:val="0"/>
          <w:i w:val="0"/>
          <w:sz w:val="24"/>
          <w:szCs w:val="24"/>
        </w:rPr>
        <w:t xml:space="preserve"> </w:t>
      </w:r>
      <w:r w:rsidRPr="00B8653A">
        <w:rPr>
          <w:b w:val="0"/>
          <w:i w:val="0"/>
          <w:sz w:val="24"/>
          <w:szCs w:val="24"/>
        </w:rPr>
        <w:t>supports de type radio 2G/3G. Ces annonces interviennent dans le cadre de la modernisation des réseaux de téléphonie mobile.</w:t>
      </w:r>
    </w:p>
    <w:p w14:paraId="15000ABC" w14:textId="77777777" w:rsidR="009443D4" w:rsidRPr="00B8653A" w:rsidRDefault="009443D4" w:rsidP="009443D4">
      <w:pPr>
        <w:pStyle w:val="Textedesdlibrations"/>
        <w:rPr>
          <w:b w:val="0"/>
          <w:i w:val="0"/>
          <w:sz w:val="24"/>
          <w:szCs w:val="24"/>
        </w:rPr>
      </w:pPr>
    </w:p>
    <w:p w14:paraId="3DA87C87" w14:textId="77777777" w:rsidR="009443D4" w:rsidRPr="00B8653A" w:rsidRDefault="009443D4" w:rsidP="009443D4">
      <w:pPr>
        <w:pStyle w:val="Textedesdlibrations"/>
        <w:ind w:left="0"/>
        <w:rPr>
          <w:b w:val="0"/>
          <w:i w:val="0"/>
          <w:sz w:val="24"/>
          <w:szCs w:val="24"/>
        </w:rPr>
      </w:pPr>
      <w:r w:rsidRPr="00B8653A">
        <w:rPr>
          <w:b w:val="0"/>
          <w:i w:val="0"/>
          <w:sz w:val="24"/>
          <w:szCs w:val="24"/>
        </w:rPr>
        <w:t>L’arrêt de ces supports a été annoncé par Orange en mars 2022 selon un « calendrier séquencé » : fin 2025 pour la 2G, et fin 2028</w:t>
      </w:r>
      <w:r>
        <w:rPr>
          <w:b w:val="0"/>
          <w:i w:val="0"/>
          <w:sz w:val="24"/>
          <w:szCs w:val="24"/>
        </w:rPr>
        <w:t xml:space="preserve"> </w:t>
      </w:r>
      <w:r w:rsidRPr="00B8653A">
        <w:rPr>
          <w:b w:val="0"/>
          <w:i w:val="0"/>
          <w:sz w:val="24"/>
          <w:szCs w:val="24"/>
        </w:rPr>
        <w:t>pour la 3G. Bouygues a quant à lui annoncé en février 2023 un arrêt de la 2G fin 2026, et de la 3G fin 2029.</w:t>
      </w:r>
    </w:p>
    <w:p w14:paraId="03BE23A9" w14:textId="77777777" w:rsidR="009443D4" w:rsidRPr="00B8653A" w:rsidRDefault="009443D4" w:rsidP="009443D4">
      <w:pPr>
        <w:pStyle w:val="Textedesdlibrations"/>
        <w:ind w:left="0"/>
        <w:rPr>
          <w:b w:val="0"/>
          <w:i w:val="0"/>
          <w:sz w:val="24"/>
          <w:szCs w:val="24"/>
        </w:rPr>
      </w:pPr>
      <w:r w:rsidRPr="00B8653A">
        <w:rPr>
          <w:b w:val="0"/>
          <w:i w:val="0"/>
          <w:sz w:val="24"/>
          <w:szCs w:val="24"/>
        </w:rPr>
        <w:t>Si les autres opérateurs n’ont à ce jour pas encore fait d’annonce équivalente, il est inéluctable que les équipements de</w:t>
      </w:r>
      <w:r>
        <w:rPr>
          <w:b w:val="0"/>
          <w:i w:val="0"/>
          <w:sz w:val="24"/>
          <w:szCs w:val="24"/>
        </w:rPr>
        <w:t xml:space="preserve"> </w:t>
      </w:r>
      <w:r w:rsidRPr="00B8653A">
        <w:rPr>
          <w:b w:val="0"/>
          <w:i w:val="0"/>
          <w:sz w:val="24"/>
          <w:szCs w:val="24"/>
        </w:rPr>
        <w:t>télécommunication vont devoir évoluer de manière générale pour pouvoir utiliser des standards plus récents de communication de</w:t>
      </w:r>
      <w:r>
        <w:rPr>
          <w:b w:val="0"/>
          <w:i w:val="0"/>
          <w:sz w:val="24"/>
          <w:szCs w:val="24"/>
        </w:rPr>
        <w:t xml:space="preserve"> </w:t>
      </w:r>
      <w:r w:rsidRPr="00B8653A">
        <w:rPr>
          <w:b w:val="0"/>
          <w:i w:val="0"/>
          <w:sz w:val="24"/>
          <w:szCs w:val="24"/>
        </w:rPr>
        <w:t>type 4G/5G.</w:t>
      </w:r>
    </w:p>
    <w:p w14:paraId="306AAAFD" w14:textId="77777777" w:rsidR="009443D4" w:rsidRPr="00B8653A" w:rsidRDefault="009443D4" w:rsidP="009443D4">
      <w:pPr>
        <w:pStyle w:val="Textedesdlibrations"/>
        <w:ind w:left="0"/>
        <w:rPr>
          <w:b w:val="0"/>
          <w:i w:val="0"/>
          <w:sz w:val="24"/>
          <w:szCs w:val="24"/>
        </w:rPr>
      </w:pPr>
      <w:r w:rsidRPr="00B8653A">
        <w:rPr>
          <w:b w:val="0"/>
          <w:i w:val="0"/>
          <w:sz w:val="24"/>
          <w:szCs w:val="24"/>
        </w:rPr>
        <w:t>Par ailleurs, Orange a annoncé avoir proposé à l’autorité de régulation des télécommunications (ARCEP) un calendrier d’arrêt du</w:t>
      </w:r>
      <w:r>
        <w:rPr>
          <w:b w:val="0"/>
          <w:i w:val="0"/>
          <w:sz w:val="24"/>
          <w:szCs w:val="24"/>
        </w:rPr>
        <w:t xml:space="preserve"> </w:t>
      </w:r>
      <w:r w:rsidRPr="00B8653A">
        <w:rPr>
          <w:b w:val="0"/>
          <w:i w:val="0"/>
          <w:sz w:val="24"/>
          <w:szCs w:val="24"/>
        </w:rPr>
        <w:t>support cuivre s’étalant de 2024 à 2030, et son remplacement par la fibre optique.</w:t>
      </w:r>
    </w:p>
    <w:p w14:paraId="072E8647" w14:textId="77777777" w:rsidR="009443D4" w:rsidRPr="00B8653A" w:rsidRDefault="009443D4" w:rsidP="009443D4">
      <w:pPr>
        <w:pStyle w:val="Textedesdlibrations"/>
        <w:ind w:left="0"/>
        <w:rPr>
          <w:b w:val="0"/>
          <w:i w:val="0"/>
          <w:sz w:val="24"/>
          <w:szCs w:val="24"/>
        </w:rPr>
      </w:pPr>
      <w:r w:rsidRPr="00B8653A">
        <w:rPr>
          <w:b w:val="0"/>
          <w:i w:val="0"/>
          <w:sz w:val="24"/>
          <w:szCs w:val="24"/>
        </w:rPr>
        <w:t>Ces supports 2G/3G et cuivre sont largement utilisés actuellement pour la télégestion des sites des services d’eau et d’assainissement</w:t>
      </w:r>
    </w:p>
    <w:p w14:paraId="1EE20785" w14:textId="77777777" w:rsidR="009443D4" w:rsidRPr="00B8653A" w:rsidRDefault="009443D4" w:rsidP="009443D4">
      <w:pPr>
        <w:pStyle w:val="Textedesdlibrations"/>
        <w:ind w:left="0"/>
        <w:rPr>
          <w:b w:val="0"/>
          <w:i w:val="0"/>
          <w:sz w:val="24"/>
          <w:szCs w:val="24"/>
        </w:rPr>
      </w:pPr>
      <w:proofErr w:type="gramStart"/>
      <w:r w:rsidRPr="00B8653A">
        <w:rPr>
          <w:b w:val="0"/>
          <w:i w:val="0"/>
          <w:sz w:val="24"/>
          <w:szCs w:val="24"/>
        </w:rPr>
        <w:lastRenderedPageBreak/>
        <w:t>en</w:t>
      </w:r>
      <w:proofErr w:type="gramEnd"/>
      <w:r w:rsidRPr="00B8653A">
        <w:rPr>
          <w:b w:val="0"/>
          <w:i w:val="0"/>
          <w:sz w:val="24"/>
          <w:szCs w:val="24"/>
        </w:rPr>
        <w:t xml:space="preserve"> France (usines de traitement, stations de pompage, réservoirs, postes de relèvement...), et il est important que ces liaisons soient</w:t>
      </w:r>
      <w:r>
        <w:rPr>
          <w:b w:val="0"/>
          <w:i w:val="0"/>
          <w:sz w:val="24"/>
          <w:szCs w:val="24"/>
        </w:rPr>
        <w:t xml:space="preserve"> </w:t>
      </w:r>
      <w:r w:rsidRPr="00B8653A">
        <w:rPr>
          <w:b w:val="0"/>
          <w:i w:val="0"/>
          <w:sz w:val="24"/>
          <w:szCs w:val="24"/>
        </w:rPr>
        <w:t>maintenues en service pour le bon fonctionnement des installations et pour la continuité de service.</w:t>
      </w:r>
    </w:p>
    <w:p w14:paraId="604735DB" w14:textId="77777777" w:rsidR="009443D4" w:rsidRPr="00B8653A" w:rsidRDefault="009443D4" w:rsidP="009443D4">
      <w:pPr>
        <w:pStyle w:val="Textedesdlibrations"/>
        <w:ind w:left="0"/>
        <w:rPr>
          <w:b w:val="0"/>
          <w:i w:val="0"/>
          <w:sz w:val="24"/>
          <w:szCs w:val="24"/>
        </w:rPr>
      </w:pPr>
      <w:r w:rsidRPr="00B8653A">
        <w:rPr>
          <w:b w:val="0"/>
          <w:i w:val="0"/>
          <w:sz w:val="24"/>
          <w:szCs w:val="24"/>
        </w:rPr>
        <w:t>Ces évolutions auront des incidences variables sur les équipements de télégestion et de communication, en fonction de leur date de</w:t>
      </w:r>
      <w:r>
        <w:rPr>
          <w:b w:val="0"/>
          <w:i w:val="0"/>
          <w:sz w:val="24"/>
          <w:szCs w:val="24"/>
        </w:rPr>
        <w:t xml:space="preserve"> </w:t>
      </w:r>
      <w:r w:rsidRPr="00B8653A">
        <w:rPr>
          <w:b w:val="0"/>
          <w:i w:val="0"/>
          <w:sz w:val="24"/>
          <w:szCs w:val="24"/>
        </w:rPr>
        <w:t>fabrication et des technologies utilisées.</w:t>
      </w:r>
    </w:p>
    <w:p w14:paraId="26EA09C5" w14:textId="77777777" w:rsidR="009443D4" w:rsidRPr="00B8653A" w:rsidRDefault="009443D4" w:rsidP="009443D4">
      <w:pPr>
        <w:pStyle w:val="Textedesdlibrations"/>
        <w:ind w:left="0"/>
        <w:rPr>
          <w:b w:val="0"/>
          <w:i w:val="0"/>
          <w:sz w:val="24"/>
          <w:szCs w:val="24"/>
        </w:rPr>
      </w:pPr>
      <w:r w:rsidRPr="00B8653A">
        <w:rPr>
          <w:b w:val="0"/>
          <w:i w:val="0"/>
          <w:sz w:val="24"/>
          <w:szCs w:val="24"/>
        </w:rPr>
        <w:t>Ce sujet est évoqué dans les RAD depuis 2022. Compte-tenu du calendrier, il devient maintenant urgent de mettre en place des</w:t>
      </w:r>
      <w:r>
        <w:rPr>
          <w:b w:val="0"/>
          <w:i w:val="0"/>
          <w:sz w:val="24"/>
          <w:szCs w:val="24"/>
        </w:rPr>
        <w:t xml:space="preserve"> </w:t>
      </w:r>
      <w:r w:rsidRPr="00B8653A">
        <w:rPr>
          <w:b w:val="0"/>
          <w:i w:val="0"/>
          <w:sz w:val="24"/>
          <w:szCs w:val="24"/>
        </w:rPr>
        <w:t>solutions pérennes pour maintenir les connexions entre nos supervisions et vos installations.</w:t>
      </w:r>
    </w:p>
    <w:p w14:paraId="7B85A407" w14:textId="77777777" w:rsidR="009443D4" w:rsidRPr="00B8653A" w:rsidRDefault="009443D4" w:rsidP="009443D4">
      <w:pPr>
        <w:pStyle w:val="Textedesdlibrations"/>
        <w:rPr>
          <w:b w:val="0"/>
          <w:i w:val="0"/>
          <w:sz w:val="24"/>
          <w:szCs w:val="24"/>
        </w:rPr>
      </w:pPr>
    </w:p>
    <w:p w14:paraId="50F29C19" w14:textId="17044DC3" w:rsidR="009443D4" w:rsidRDefault="009443D4" w:rsidP="009443D4">
      <w:pPr>
        <w:pStyle w:val="Textedesdlibrations"/>
        <w:ind w:left="0"/>
        <w:rPr>
          <w:b w:val="0"/>
          <w:i w:val="0"/>
          <w:sz w:val="24"/>
          <w:szCs w:val="24"/>
        </w:rPr>
      </w:pPr>
      <w:r w:rsidRPr="00B8653A">
        <w:rPr>
          <w:b w:val="0"/>
          <w:i w:val="0"/>
          <w:sz w:val="24"/>
          <w:szCs w:val="24"/>
        </w:rPr>
        <w:t>Les sites de votre patrimoine concernés par ces renouvellements urgents sont les suivants :</w:t>
      </w:r>
    </w:p>
    <w:p w14:paraId="7978007C" w14:textId="77777777" w:rsidR="009443D4" w:rsidRPr="00B8653A" w:rsidRDefault="009443D4" w:rsidP="009443D4">
      <w:pPr>
        <w:pStyle w:val="Textedesdlibrations"/>
        <w:ind w:left="0"/>
        <w:rPr>
          <w:b w:val="0"/>
          <w:i w:val="0"/>
          <w:sz w:val="24"/>
          <w:szCs w:val="24"/>
        </w:rPr>
      </w:pPr>
      <w:r w:rsidRPr="00B8653A">
        <w:rPr>
          <w:bCs/>
          <w:i w:val="0"/>
          <w:sz w:val="24"/>
          <w:szCs w:val="24"/>
          <w:u w:val="single"/>
        </w:rPr>
        <w:t>ASSAINISSEMENT BUDOS</w:t>
      </w:r>
      <w:r>
        <w:rPr>
          <w:b w:val="0"/>
          <w:i w:val="0"/>
          <w:sz w:val="24"/>
          <w:szCs w:val="24"/>
        </w:rPr>
        <w:t> :</w:t>
      </w:r>
    </w:p>
    <w:p w14:paraId="0BB794A7" w14:textId="77777777" w:rsidR="009443D4" w:rsidRPr="00B8653A" w:rsidRDefault="009443D4" w:rsidP="009443D4">
      <w:pPr>
        <w:pStyle w:val="Textedesdlibrations"/>
        <w:rPr>
          <w:b w:val="0"/>
          <w:i w:val="0"/>
          <w:sz w:val="24"/>
          <w:szCs w:val="24"/>
        </w:rPr>
      </w:pPr>
      <w:r w:rsidRPr="00B8653A">
        <w:rPr>
          <w:b w:val="0"/>
          <w:i w:val="0"/>
          <w:sz w:val="24"/>
          <w:szCs w:val="24"/>
        </w:rPr>
        <w:t xml:space="preserve">- PR </w:t>
      </w:r>
      <w:proofErr w:type="spellStart"/>
      <w:r w:rsidRPr="00B8653A">
        <w:rPr>
          <w:b w:val="0"/>
          <w:i w:val="0"/>
          <w:sz w:val="24"/>
          <w:szCs w:val="24"/>
        </w:rPr>
        <w:t>Mouliets</w:t>
      </w:r>
      <w:proofErr w:type="spellEnd"/>
      <w:r w:rsidRPr="00B8653A">
        <w:rPr>
          <w:b w:val="0"/>
          <w:i w:val="0"/>
          <w:sz w:val="24"/>
          <w:szCs w:val="24"/>
        </w:rPr>
        <w:t xml:space="preserve"> : communication sur le réseau 2G (arrêt programmé au 31/12/2025) _ service assainissement</w:t>
      </w:r>
    </w:p>
    <w:p w14:paraId="1CCE8B09" w14:textId="77777777" w:rsidR="009443D4" w:rsidRPr="00B8653A" w:rsidRDefault="009443D4" w:rsidP="009443D4">
      <w:pPr>
        <w:pStyle w:val="Textedesdlibrations"/>
        <w:rPr>
          <w:b w:val="0"/>
          <w:i w:val="0"/>
          <w:sz w:val="24"/>
          <w:szCs w:val="24"/>
        </w:rPr>
      </w:pPr>
      <w:r w:rsidRPr="00B8653A">
        <w:rPr>
          <w:b w:val="0"/>
          <w:i w:val="0"/>
          <w:sz w:val="24"/>
          <w:szCs w:val="24"/>
        </w:rPr>
        <w:t xml:space="preserve">- PR </w:t>
      </w:r>
      <w:proofErr w:type="spellStart"/>
      <w:r w:rsidRPr="00B8653A">
        <w:rPr>
          <w:b w:val="0"/>
          <w:i w:val="0"/>
          <w:sz w:val="24"/>
          <w:szCs w:val="24"/>
        </w:rPr>
        <w:t>Mouyet</w:t>
      </w:r>
      <w:proofErr w:type="spellEnd"/>
      <w:r w:rsidRPr="00B8653A">
        <w:rPr>
          <w:b w:val="0"/>
          <w:i w:val="0"/>
          <w:sz w:val="24"/>
          <w:szCs w:val="24"/>
        </w:rPr>
        <w:t xml:space="preserve"> : communication sur le réseau 2G (arrêt programmé au 31/12/2025) _ service assainissement</w:t>
      </w:r>
    </w:p>
    <w:p w14:paraId="3AB88CDF" w14:textId="77777777" w:rsidR="009443D4" w:rsidRPr="00B8653A" w:rsidRDefault="009443D4" w:rsidP="009443D4">
      <w:pPr>
        <w:pStyle w:val="Textedesdlibrations"/>
        <w:rPr>
          <w:b w:val="0"/>
          <w:i w:val="0"/>
          <w:sz w:val="24"/>
          <w:szCs w:val="24"/>
        </w:rPr>
      </w:pPr>
      <w:r w:rsidRPr="00B8653A">
        <w:rPr>
          <w:b w:val="0"/>
          <w:i w:val="0"/>
          <w:sz w:val="24"/>
          <w:szCs w:val="24"/>
        </w:rPr>
        <w:t>- Surpresseur Batsère : communication sur le réseau 2G (arrêt programmé au 31/12/2025) _ service eau potable</w:t>
      </w:r>
    </w:p>
    <w:p w14:paraId="55010E1E" w14:textId="77777777" w:rsidR="009443D4" w:rsidRPr="00B8653A" w:rsidRDefault="009443D4" w:rsidP="009443D4">
      <w:pPr>
        <w:pStyle w:val="Textedesdlibrations"/>
        <w:rPr>
          <w:b w:val="0"/>
          <w:i w:val="0"/>
          <w:sz w:val="24"/>
          <w:szCs w:val="24"/>
        </w:rPr>
      </w:pPr>
      <w:r w:rsidRPr="00B8653A">
        <w:rPr>
          <w:b w:val="0"/>
          <w:i w:val="0"/>
          <w:sz w:val="24"/>
          <w:szCs w:val="24"/>
        </w:rPr>
        <w:t>- Surpresseur Le Bayle : communication sur le réseau 2G (arrêt programmé au 31/12/2025) _ service eau potable</w:t>
      </w:r>
    </w:p>
    <w:p w14:paraId="24877D33" w14:textId="77777777" w:rsidR="009443D4" w:rsidRPr="00B8653A" w:rsidRDefault="009443D4" w:rsidP="009443D4">
      <w:pPr>
        <w:pStyle w:val="Textedesdlibrations"/>
        <w:rPr>
          <w:b w:val="0"/>
          <w:i w:val="0"/>
          <w:sz w:val="24"/>
          <w:szCs w:val="24"/>
        </w:rPr>
      </w:pPr>
      <w:r w:rsidRPr="00B8653A">
        <w:rPr>
          <w:b w:val="0"/>
          <w:i w:val="0"/>
          <w:sz w:val="24"/>
          <w:szCs w:val="24"/>
        </w:rPr>
        <w:t xml:space="preserve">- Point de sectorisation eau potable </w:t>
      </w:r>
      <w:proofErr w:type="spellStart"/>
      <w:r w:rsidRPr="00B8653A">
        <w:rPr>
          <w:b w:val="0"/>
          <w:i w:val="0"/>
          <w:sz w:val="24"/>
          <w:szCs w:val="24"/>
        </w:rPr>
        <w:t>Caméou</w:t>
      </w:r>
      <w:proofErr w:type="spellEnd"/>
      <w:r w:rsidRPr="00B8653A">
        <w:rPr>
          <w:b w:val="0"/>
          <w:i w:val="0"/>
          <w:sz w:val="24"/>
          <w:szCs w:val="24"/>
        </w:rPr>
        <w:t xml:space="preserve"> : communication sur le réseau 2G (arrêt programmé au 31/12/2025) _service eau potable</w:t>
      </w:r>
    </w:p>
    <w:p w14:paraId="7CDAE15E" w14:textId="77777777" w:rsidR="009443D4" w:rsidRDefault="009443D4" w:rsidP="009443D4">
      <w:pPr>
        <w:pStyle w:val="Textedesdlibrations"/>
        <w:rPr>
          <w:b w:val="0"/>
          <w:i w:val="0"/>
          <w:sz w:val="24"/>
          <w:szCs w:val="24"/>
        </w:rPr>
      </w:pPr>
    </w:p>
    <w:p w14:paraId="7404DD2A" w14:textId="77777777" w:rsidR="009443D4" w:rsidRDefault="009443D4" w:rsidP="009443D4">
      <w:pPr>
        <w:pStyle w:val="Textedesdlibrations"/>
        <w:ind w:left="0"/>
        <w:rPr>
          <w:b w:val="0"/>
          <w:i w:val="0"/>
          <w:sz w:val="24"/>
          <w:szCs w:val="24"/>
        </w:rPr>
      </w:pPr>
      <w:r w:rsidRPr="00B8653A">
        <w:rPr>
          <w:bCs/>
          <w:i w:val="0"/>
          <w:sz w:val="24"/>
          <w:szCs w:val="24"/>
          <w:u w:val="single"/>
        </w:rPr>
        <w:t>ASSAINISSEMENT PUJOLS SUR CIRON</w:t>
      </w:r>
      <w:r>
        <w:rPr>
          <w:b w:val="0"/>
          <w:i w:val="0"/>
          <w:sz w:val="24"/>
          <w:szCs w:val="24"/>
        </w:rPr>
        <w:t> :</w:t>
      </w:r>
    </w:p>
    <w:p w14:paraId="79A58492" w14:textId="77777777" w:rsidR="009443D4" w:rsidRPr="00B8653A" w:rsidRDefault="009443D4" w:rsidP="009443D4">
      <w:pPr>
        <w:pStyle w:val="Textedesdlibrations"/>
        <w:rPr>
          <w:b w:val="0"/>
          <w:i w:val="0"/>
          <w:sz w:val="24"/>
          <w:szCs w:val="24"/>
        </w:rPr>
      </w:pPr>
      <w:r w:rsidRPr="00B8653A">
        <w:rPr>
          <w:b w:val="0"/>
          <w:i w:val="0"/>
          <w:sz w:val="24"/>
          <w:szCs w:val="24"/>
        </w:rPr>
        <w:t>- Station d’épuration de Pujols sur Ciron (Bourg) : communication sur le réseau 2G (arrêt programmé au 31/12/2025)</w:t>
      </w:r>
    </w:p>
    <w:p w14:paraId="5DDBE008" w14:textId="77777777" w:rsidR="009443D4" w:rsidRDefault="009443D4" w:rsidP="009443D4">
      <w:pPr>
        <w:pStyle w:val="Textedesdlibrations"/>
        <w:rPr>
          <w:b w:val="0"/>
          <w:i w:val="0"/>
          <w:sz w:val="24"/>
          <w:szCs w:val="24"/>
        </w:rPr>
      </w:pPr>
      <w:r w:rsidRPr="00B8653A">
        <w:rPr>
          <w:b w:val="0"/>
          <w:i w:val="0"/>
          <w:sz w:val="24"/>
          <w:szCs w:val="24"/>
        </w:rPr>
        <w:t>- PR Platanes : communication sur le réseau 2G (arrêt programmé au 31/12/2025)</w:t>
      </w:r>
    </w:p>
    <w:p w14:paraId="572E6AA5" w14:textId="77777777" w:rsidR="009443D4" w:rsidRDefault="009443D4" w:rsidP="009443D4">
      <w:pPr>
        <w:pStyle w:val="Textedesdlibrations"/>
        <w:rPr>
          <w:b w:val="0"/>
          <w:i w:val="0"/>
          <w:sz w:val="24"/>
          <w:szCs w:val="24"/>
        </w:rPr>
      </w:pPr>
    </w:p>
    <w:p w14:paraId="081ECDA8" w14:textId="77777777" w:rsidR="009443D4" w:rsidRPr="00E63B33" w:rsidRDefault="009443D4" w:rsidP="009443D4">
      <w:pPr>
        <w:pStyle w:val="Textedesdlibrations"/>
        <w:ind w:left="0"/>
        <w:rPr>
          <w:sz w:val="24"/>
          <w:szCs w:val="24"/>
        </w:rPr>
      </w:pPr>
      <w:r w:rsidRPr="00E63B33">
        <w:rPr>
          <w:sz w:val="24"/>
          <w:szCs w:val="24"/>
        </w:rPr>
        <w:t>LE COMITE SYNDICAL,</w:t>
      </w:r>
    </w:p>
    <w:p w14:paraId="28D59473" w14:textId="77777777" w:rsidR="009443D4" w:rsidRDefault="009443D4" w:rsidP="009443D4">
      <w:pPr>
        <w:pStyle w:val="Textedesdlibrations"/>
        <w:ind w:left="0"/>
        <w:rPr>
          <w:b w:val="0"/>
          <w:i w:val="0"/>
          <w:sz w:val="24"/>
          <w:szCs w:val="24"/>
        </w:rPr>
      </w:pPr>
      <w:proofErr w:type="gramStart"/>
      <w:r w:rsidRPr="001055FE">
        <w:rPr>
          <w:b w:val="0"/>
          <w:i w:val="0"/>
          <w:sz w:val="24"/>
          <w:szCs w:val="24"/>
        </w:rPr>
        <w:t>après</w:t>
      </w:r>
      <w:proofErr w:type="gramEnd"/>
      <w:r w:rsidRPr="001055FE">
        <w:rPr>
          <w:b w:val="0"/>
          <w:i w:val="0"/>
          <w:sz w:val="24"/>
          <w:szCs w:val="24"/>
        </w:rPr>
        <w:t xml:space="preserve"> en avoir délibéré</w:t>
      </w:r>
      <w:r>
        <w:rPr>
          <w:b w:val="0"/>
          <w:i w:val="0"/>
          <w:sz w:val="24"/>
          <w:szCs w:val="24"/>
        </w:rPr>
        <w:t>, l’unanimité des membres présents,</w:t>
      </w:r>
    </w:p>
    <w:p w14:paraId="24ACD293" w14:textId="77777777" w:rsidR="009443D4" w:rsidRDefault="009443D4" w:rsidP="009443D4">
      <w:pPr>
        <w:pStyle w:val="Textedesdlibrations"/>
        <w:ind w:left="992" w:firstLine="709"/>
        <w:rPr>
          <w:b w:val="0"/>
          <w:i w:val="0"/>
          <w:sz w:val="24"/>
          <w:szCs w:val="24"/>
        </w:rPr>
      </w:pPr>
    </w:p>
    <w:p w14:paraId="1517203B" w14:textId="77777777" w:rsidR="009443D4" w:rsidRDefault="009443D4" w:rsidP="009443D4">
      <w:pPr>
        <w:pStyle w:val="Textedesdlibrations"/>
        <w:ind w:left="0"/>
        <w:rPr>
          <w:b w:val="0"/>
          <w:i w:val="0"/>
          <w:sz w:val="24"/>
          <w:szCs w:val="24"/>
        </w:rPr>
      </w:pPr>
      <w:r w:rsidRPr="001055FE">
        <w:rPr>
          <w:bCs/>
          <w:i w:val="0"/>
          <w:sz w:val="24"/>
          <w:szCs w:val="24"/>
        </w:rPr>
        <w:t>DECIDE </w:t>
      </w:r>
      <w:r w:rsidRPr="001055FE">
        <w:rPr>
          <w:b w:val="0"/>
          <w:i w:val="0"/>
          <w:sz w:val="24"/>
          <w:szCs w:val="24"/>
        </w:rPr>
        <w:t>:</w:t>
      </w:r>
    </w:p>
    <w:p w14:paraId="333C2E35" w14:textId="77777777" w:rsidR="009443D4" w:rsidRPr="001055FE" w:rsidRDefault="009443D4" w:rsidP="009443D4">
      <w:pPr>
        <w:pStyle w:val="Textedesdlibrations"/>
        <w:rPr>
          <w:b w:val="0"/>
          <w:i w:val="0"/>
          <w:sz w:val="24"/>
          <w:szCs w:val="24"/>
        </w:rPr>
      </w:pPr>
    </w:p>
    <w:p w14:paraId="26C578A1" w14:textId="5E5F8E32" w:rsidR="009443D4" w:rsidRDefault="009443D4" w:rsidP="009443D4">
      <w:pPr>
        <w:pStyle w:val="Textedesdlibrations"/>
        <w:numPr>
          <w:ilvl w:val="0"/>
          <w:numId w:val="16"/>
        </w:numPr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D’accepter les devis de SUEZ pour le changement des boîtiers de télégestion :</w:t>
      </w:r>
    </w:p>
    <w:p w14:paraId="00B17602" w14:textId="77777777" w:rsidR="009443D4" w:rsidRDefault="009443D4" w:rsidP="009443D4">
      <w:pPr>
        <w:pStyle w:val="Textedesdlibrations"/>
        <w:ind w:left="2061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Montant AEP : 11 259 euros HT</w:t>
      </w:r>
    </w:p>
    <w:p w14:paraId="3308E313" w14:textId="77777777" w:rsidR="009443D4" w:rsidRDefault="009443D4" w:rsidP="009443D4">
      <w:pPr>
        <w:pStyle w:val="Textedesdlibrations"/>
        <w:ind w:left="2061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Montant BUDOS : 8 710.30 Euros HT</w:t>
      </w:r>
    </w:p>
    <w:p w14:paraId="76FC1A28" w14:textId="77777777" w:rsidR="009443D4" w:rsidRDefault="009443D4" w:rsidP="009443D4">
      <w:pPr>
        <w:pStyle w:val="Textedesdlibrations"/>
        <w:ind w:left="2061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Montant PUJOLS SUR CIRON : 7 620 euros HT</w:t>
      </w:r>
    </w:p>
    <w:p w14:paraId="40845619" w14:textId="77777777" w:rsidR="009443D4" w:rsidRDefault="009443D4" w:rsidP="009443D4">
      <w:pPr>
        <w:pStyle w:val="Textedesdlibrations"/>
        <w:ind w:left="2061"/>
        <w:rPr>
          <w:b w:val="0"/>
          <w:i w:val="0"/>
          <w:sz w:val="24"/>
          <w:szCs w:val="24"/>
        </w:rPr>
      </w:pPr>
    </w:p>
    <w:p w14:paraId="2FE7CBFC" w14:textId="1DEA0136" w:rsidR="009443D4" w:rsidRPr="001055FE" w:rsidRDefault="009443D4" w:rsidP="009443D4">
      <w:pPr>
        <w:pStyle w:val="Textedesdlibrations"/>
        <w:numPr>
          <w:ilvl w:val="0"/>
          <w:numId w:val="16"/>
        </w:numPr>
        <w:rPr>
          <w:b w:val="0"/>
          <w:i w:val="0"/>
          <w:sz w:val="24"/>
          <w:szCs w:val="24"/>
        </w:rPr>
      </w:pPr>
      <w:r w:rsidRPr="001055FE">
        <w:rPr>
          <w:b w:val="0"/>
          <w:i w:val="0"/>
          <w:sz w:val="24"/>
          <w:szCs w:val="24"/>
        </w:rPr>
        <w:t xml:space="preserve">D’autoriser M. le Président à </w:t>
      </w:r>
      <w:r>
        <w:rPr>
          <w:b w:val="0"/>
          <w:i w:val="0"/>
          <w:sz w:val="24"/>
          <w:szCs w:val="24"/>
        </w:rPr>
        <w:t>signer tous les documents nécessaires</w:t>
      </w:r>
    </w:p>
    <w:p w14:paraId="50D2EA78" w14:textId="77777777" w:rsidR="009443D4" w:rsidRDefault="00D744F2" w:rsidP="00D744F2">
      <w:pPr>
        <w:spacing w:after="0" w:line="240" w:lineRule="auto"/>
        <w:jc w:val="both"/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ab/>
      </w:r>
      <w:r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ab/>
      </w:r>
      <w:r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ab/>
      </w:r>
      <w:r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ab/>
      </w:r>
      <w:r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ab/>
      </w:r>
      <w:r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ab/>
      </w:r>
      <w:r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ab/>
      </w:r>
      <w:r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ab/>
      </w:r>
      <w:r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ab/>
      </w:r>
      <w:r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ab/>
      </w:r>
    </w:p>
    <w:p w14:paraId="4ECB66A5" w14:textId="77777777" w:rsidR="009443D4" w:rsidRDefault="009443D4" w:rsidP="00D744F2">
      <w:pPr>
        <w:spacing w:after="0" w:line="240" w:lineRule="auto"/>
        <w:jc w:val="both"/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</w:pPr>
    </w:p>
    <w:p w14:paraId="67F0A4A4" w14:textId="305BE808" w:rsidR="00D744F2" w:rsidRDefault="009443D4" w:rsidP="009443D4">
      <w:pPr>
        <w:spacing w:after="0" w:line="240" w:lineRule="auto"/>
        <w:ind w:left="6372" w:firstLine="708"/>
        <w:jc w:val="both"/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>6</w:t>
      </w:r>
      <w:r w:rsidR="00D744F2" w:rsidRPr="004E7602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 xml:space="preserve"> POUR</w:t>
      </w:r>
    </w:p>
    <w:p w14:paraId="22FC00B3" w14:textId="77777777" w:rsidR="004248E6" w:rsidRDefault="004248E6" w:rsidP="004248E6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145A3515" w14:textId="77777777" w:rsidR="007A27EA" w:rsidRPr="007A27EA" w:rsidRDefault="007A27EA" w:rsidP="006B2407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</w:pPr>
    </w:p>
    <w:p w14:paraId="1A1B9BFE" w14:textId="4413D54C" w:rsidR="006B2407" w:rsidRPr="004E7602" w:rsidRDefault="004E7602" w:rsidP="004E7602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</w:pPr>
      <w:r w:rsidRPr="004E7602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Pas de questions diverses.</w:t>
      </w:r>
    </w:p>
    <w:p w14:paraId="112078AF" w14:textId="77777777" w:rsidR="004E7602" w:rsidRPr="006B2407" w:rsidRDefault="004E7602" w:rsidP="004E7602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</w:pPr>
    </w:p>
    <w:p w14:paraId="362D8950" w14:textId="25FDD47D" w:rsidR="006B2407" w:rsidRPr="007A27EA" w:rsidRDefault="006B2407" w:rsidP="009443D4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</w:pPr>
      <w:r w:rsidRPr="006B2407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L’ordre du jour étant épuisé, la séance est levée à </w:t>
      </w:r>
      <w:r w:rsidR="004E7602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1</w:t>
      </w:r>
      <w:r w:rsidR="009443D4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2</w:t>
      </w:r>
      <w:r w:rsidR="004E7602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 xml:space="preserve"> h </w:t>
      </w:r>
      <w:r w:rsidR="00AE6436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0</w:t>
      </w:r>
      <w:r w:rsidR="004E7602">
        <w:rPr>
          <w:rFonts w:ascii="Calibri" w:eastAsia="Times New Roman" w:hAnsi="Calibri" w:cs="Calibri"/>
          <w:color w:val="000000"/>
          <w:kern w:val="0"/>
          <w:sz w:val="24"/>
          <w:szCs w:val="24"/>
          <w:lang w:eastAsia="fr-FR"/>
          <w14:ligatures w14:val="none"/>
        </w:rPr>
        <w:t>0</w:t>
      </w:r>
    </w:p>
    <w:sectPr w:rsidR="006B2407" w:rsidRPr="007A2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72EDF"/>
    <w:multiLevelType w:val="multilevel"/>
    <w:tmpl w:val="AFD6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F40A2F"/>
    <w:multiLevelType w:val="hybridMultilevel"/>
    <w:tmpl w:val="644C22B0"/>
    <w:lvl w:ilvl="0" w:tplc="1A50DB6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03C61"/>
    <w:multiLevelType w:val="hybridMultilevel"/>
    <w:tmpl w:val="CB74D0F6"/>
    <w:lvl w:ilvl="0" w:tplc="0C08EA5E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275E0"/>
    <w:multiLevelType w:val="hybridMultilevel"/>
    <w:tmpl w:val="8F0418FA"/>
    <w:lvl w:ilvl="0" w:tplc="67524E9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414FD"/>
    <w:multiLevelType w:val="hybridMultilevel"/>
    <w:tmpl w:val="16C4E332"/>
    <w:lvl w:ilvl="0" w:tplc="F2FC4A9E">
      <w:start w:val="1"/>
      <w:numFmt w:val="bullet"/>
      <w:lvlText w:val="-"/>
      <w:lvlJc w:val="left"/>
      <w:pPr>
        <w:ind w:left="2061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5" w15:restartNumberingAfterBreak="0">
    <w:nsid w:val="3E754EE2"/>
    <w:multiLevelType w:val="multilevel"/>
    <w:tmpl w:val="022E2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C903E0"/>
    <w:multiLevelType w:val="multilevel"/>
    <w:tmpl w:val="C5FAB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3F7AD5"/>
    <w:multiLevelType w:val="multilevel"/>
    <w:tmpl w:val="0D98E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F953BC"/>
    <w:multiLevelType w:val="multilevel"/>
    <w:tmpl w:val="504AC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AD0728"/>
    <w:multiLevelType w:val="hybridMultilevel"/>
    <w:tmpl w:val="D7D0E872"/>
    <w:lvl w:ilvl="0" w:tplc="69821562">
      <w:start w:val="5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E064D5"/>
    <w:multiLevelType w:val="multilevel"/>
    <w:tmpl w:val="23FE0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055B59"/>
    <w:multiLevelType w:val="hybridMultilevel"/>
    <w:tmpl w:val="E21E5164"/>
    <w:lvl w:ilvl="0" w:tplc="260ADB0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21693A"/>
    <w:multiLevelType w:val="hybridMultilevel"/>
    <w:tmpl w:val="1B142A94"/>
    <w:lvl w:ilvl="0" w:tplc="80E2F226">
      <w:start w:val="5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822E31"/>
    <w:multiLevelType w:val="multilevel"/>
    <w:tmpl w:val="0004D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EA03F2"/>
    <w:multiLevelType w:val="hybridMultilevel"/>
    <w:tmpl w:val="23DAA364"/>
    <w:lvl w:ilvl="0" w:tplc="0E7C20A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1F00DE"/>
    <w:multiLevelType w:val="hybridMultilevel"/>
    <w:tmpl w:val="32CE5EF4"/>
    <w:lvl w:ilvl="0" w:tplc="88D03164">
      <w:start w:val="9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505026">
    <w:abstractNumId w:val="13"/>
  </w:num>
  <w:num w:numId="2" w16cid:durableId="1226138320">
    <w:abstractNumId w:val="6"/>
  </w:num>
  <w:num w:numId="3" w16cid:durableId="1988314361">
    <w:abstractNumId w:val="0"/>
  </w:num>
  <w:num w:numId="4" w16cid:durableId="898635913">
    <w:abstractNumId w:val="7"/>
  </w:num>
  <w:num w:numId="5" w16cid:durableId="1731922980">
    <w:abstractNumId w:val="8"/>
  </w:num>
  <w:num w:numId="6" w16cid:durableId="29112900">
    <w:abstractNumId w:val="10"/>
  </w:num>
  <w:num w:numId="7" w16cid:durableId="199320629">
    <w:abstractNumId w:val="11"/>
  </w:num>
  <w:num w:numId="8" w16cid:durableId="181364969">
    <w:abstractNumId w:val="1"/>
  </w:num>
  <w:num w:numId="9" w16cid:durableId="1836722108">
    <w:abstractNumId w:val="5"/>
  </w:num>
  <w:num w:numId="10" w16cid:durableId="537744921">
    <w:abstractNumId w:val="12"/>
  </w:num>
  <w:num w:numId="11" w16cid:durableId="292910112">
    <w:abstractNumId w:val="15"/>
  </w:num>
  <w:num w:numId="12" w16cid:durableId="1203056390">
    <w:abstractNumId w:val="9"/>
  </w:num>
  <w:num w:numId="13" w16cid:durableId="1856310902">
    <w:abstractNumId w:val="14"/>
  </w:num>
  <w:num w:numId="14" w16cid:durableId="1234974190">
    <w:abstractNumId w:val="3"/>
  </w:num>
  <w:num w:numId="15" w16cid:durableId="131338465">
    <w:abstractNumId w:val="4"/>
  </w:num>
  <w:num w:numId="16" w16cid:durableId="11521413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407"/>
    <w:rsid w:val="00152A8F"/>
    <w:rsid w:val="0018377B"/>
    <w:rsid w:val="00371B06"/>
    <w:rsid w:val="003931A9"/>
    <w:rsid w:val="004248E6"/>
    <w:rsid w:val="00442773"/>
    <w:rsid w:val="00442D98"/>
    <w:rsid w:val="004E7602"/>
    <w:rsid w:val="005C716B"/>
    <w:rsid w:val="006958FF"/>
    <w:rsid w:val="006B2407"/>
    <w:rsid w:val="007578CA"/>
    <w:rsid w:val="007A27EA"/>
    <w:rsid w:val="007E1F41"/>
    <w:rsid w:val="00815950"/>
    <w:rsid w:val="008B2F3A"/>
    <w:rsid w:val="009443D4"/>
    <w:rsid w:val="00AE6436"/>
    <w:rsid w:val="00B24FC9"/>
    <w:rsid w:val="00B275C3"/>
    <w:rsid w:val="00C20B42"/>
    <w:rsid w:val="00C25BEE"/>
    <w:rsid w:val="00C31BA2"/>
    <w:rsid w:val="00C547D6"/>
    <w:rsid w:val="00C9346D"/>
    <w:rsid w:val="00D01A0C"/>
    <w:rsid w:val="00D744F2"/>
    <w:rsid w:val="00D91F07"/>
    <w:rsid w:val="00D97335"/>
    <w:rsid w:val="00DD3E81"/>
    <w:rsid w:val="00E90024"/>
    <w:rsid w:val="00EA20E7"/>
    <w:rsid w:val="00EC4F69"/>
    <w:rsid w:val="00F410CA"/>
    <w:rsid w:val="00FA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F2A43"/>
  <w15:chartTrackingRefBased/>
  <w15:docId w15:val="{9A506E9C-5787-456A-8825-6A380B96A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B24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B24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B24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B24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B24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B24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B24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B24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B24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B24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B24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B24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B240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B240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B240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B240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B240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B240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B24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B2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B24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B24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B24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B240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B240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B240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B24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B240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B2407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815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desdlibrations">
    <w:name w:val="Texte des délibérations"/>
    <w:basedOn w:val="Normal"/>
    <w:autoRedefine/>
    <w:rsid w:val="00EC4F69"/>
    <w:pPr>
      <w:spacing w:after="0" w:line="240" w:lineRule="auto"/>
      <w:ind w:left="1701"/>
    </w:pPr>
    <w:rPr>
      <w:rFonts w:ascii="Calibri Light" w:eastAsia="Times New Roman" w:hAnsi="Calibri Light" w:cs="Calibri Light"/>
      <w:b/>
      <w:i/>
      <w:iCs/>
      <w:kern w:val="0"/>
      <w:sz w:val="18"/>
      <w:szCs w:val="18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876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syndicat budos</dc:creator>
  <cp:keywords/>
  <dc:description/>
  <cp:lastModifiedBy>syndicat budos</cp:lastModifiedBy>
  <cp:revision>3</cp:revision>
  <cp:lastPrinted>2025-10-27T13:11:00Z</cp:lastPrinted>
  <dcterms:created xsi:type="dcterms:W3CDTF">2025-10-27T13:12:00Z</dcterms:created>
  <dcterms:modified xsi:type="dcterms:W3CDTF">2025-10-27T13:37:00Z</dcterms:modified>
</cp:coreProperties>
</file>